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ascii="宋体" w:hAnsi="宋体" w:cs="宋体"/>
          <w:b/>
          <w:bCs/>
          <w:sz w:val="24"/>
          <w:szCs w:val="24"/>
          <w:highlight w:val="none"/>
        </w:rPr>
      </w:pPr>
      <w:r>
        <w:rPr>
          <w:rFonts w:hint="eastAsia" w:ascii="宋体" w:hAnsi="宋体" w:cs="宋体"/>
          <w:b/>
          <w:bCs/>
          <w:sz w:val="24"/>
          <w:szCs w:val="24"/>
          <w:highlight w:val="none"/>
        </w:rPr>
        <w:t>采购需求</w:t>
      </w:r>
    </w:p>
    <w:p>
      <w:p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一、采购内容及数量</w:t>
      </w:r>
    </w:p>
    <w:tbl>
      <w:tblPr>
        <w:tblStyle w:val="5"/>
        <w:tblW w:w="0" w:type="auto"/>
        <w:jc w:val="center"/>
        <w:tblLayout w:type="fixed"/>
        <w:tblCellMar>
          <w:top w:w="0" w:type="dxa"/>
          <w:left w:w="108" w:type="dxa"/>
          <w:bottom w:w="0" w:type="dxa"/>
          <w:right w:w="108" w:type="dxa"/>
        </w:tblCellMar>
      </w:tblPr>
      <w:tblGrid>
        <w:gridCol w:w="1038"/>
        <w:gridCol w:w="3059"/>
        <w:gridCol w:w="1701"/>
        <w:gridCol w:w="1843"/>
        <w:gridCol w:w="1685"/>
      </w:tblGrid>
      <w:tr>
        <w:tblPrEx>
          <w:tblCellMar>
            <w:top w:w="0" w:type="dxa"/>
            <w:left w:w="108" w:type="dxa"/>
            <w:bottom w:w="0" w:type="dxa"/>
            <w:right w:w="108" w:type="dxa"/>
          </w:tblCellMar>
        </w:tblPrEx>
        <w:trPr>
          <w:trHeight w:val="9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序号</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项目内容</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 xml:space="preserve">数量  </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预算金额(元)</w:t>
            </w:r>
          </w:p>
        </w:tc>
        <w:tc>
          <w:tcPr>
            <w:tcW w:w="16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备注</w:t>
            </w:r>
          </w:p>
        </w:tc>
      </w:tr>
      <w:tr>
        <w:tblPrEx>
          <w:tblCellMar>
            <w:top w:w="0" w:type="dxa"/>
            <w:left w:w="108" w:type="dxa"/>
            <w:bottom w:w="0" w:type="dxa"/>
            <w:right w:w="108" w:type="dxa"/>
          </w:tblCellMar>
        </w:tblPrEx>
        <w:trPr>
          <w:trHeight w:val="319"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ascii="宋体" w:hAnsi="宋体" w:cs="宋体"/>
                <w:sz w:val="22"/>
                <w:szCs w:val="22"/>
                <w:highlight w:val="none"/>
              </w:rPr>
            </w:pPr>
            <w:r>
              <w:rPr>
                <w:rFonts w:hint="eastAsia" w:hAnsi="宋体" w:cs="宋体"/>
                <w:sz w:val="22"/>
                <w:szCs w:val="22"/>
                <w:highlight w:val="none"/>
              </w:rPr>
              <w:t>硬盘还原卡</w:t>
            </w:r>
            <w:r>
              <w:rPr>
                <w:rFonts w:hint="eastAsia" w:ascii="宋体" w:hAnsi="宋体" w:cs="宋体"/>
                <w:sz w:val="22"/>
                <w:szCs w:val="22"/>
                <w:highlight w:val="none"/>
              </w:rPr>
              <w:t xml:space="preserve"> </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ascii="宋体" w:hAnsi="宋体" w:cs="宋体"/>
                <w:sz w:val="22"/>
                <w:szCs w:val="22"/>
                <w:highlight w:val="none"/>
              </w:rPr>
            </w:pPr>
            <w:r>
              <w:rPr>
                <w:rFonts w:hint="eastAsia" w:ascii="宋体" w:hAnsi="宋体" w:cs="宋体"/>
                <w:sz w:val="22"/>
                <w:szCs w:val="22"/>
                <w:highlight w:val="none"/>
              </w:rPr>
              <w:t>1批</w:t>
            </w: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ascii="宋体" w:hAnsi="宋体" w:cs="宋体"/>
                <w:sz w:val="22"/>
                <w:szCs w:val="22"/>
                <w:highlight w:val="none"/>
              </w:rPr>
            </w:pPr>
            <w:r>
              <w:rPr>
                <w:rFonts w:hint="eastAsia" w:ascii="宋体" w:hAnsi="宋体" w:cs="宋体"/>
                <w:sz w:val="22"/>
                <w:szCs w:val="22"/>
                <w:highlight w:val="none"/>
              </w:rPr>
              <w:t>303070</w:t>
            </w:r>
          </w:p>
        </w:tc>
        <w:tc>
          <w:tcPr>
            <w:tcW w:w="16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kern w:val="0"/>
                <w:sz w:val="22"/>
                <w:szCs w:val="22"/>
                <w:highlight w:val="none"/>
              </w:rPr>
              <w:t xml:space="preserve"> </w:t>
            </w:r>
          </w:p>
        </w:tc>
      </w:tr>
    </w:tbl>
    <w:p>
      <w:pPr>
        <w:pStyle w:val="4"/>
        <w:ind w:right="-252"/>
        <w:rPr>
          <w:rFonts w:hint="eastAsia"/>
          <w:highlight w:val="none"/>
        </w:rPr>
      </w:pPr>
    </w:p>
    <w:p>
      <w:pPr>
        <w:snapToGrid w:val="0"/>
        <w:spacing w:line="360" w:lineRule="exact"/>
        <w:outlineLvl w:val="0"/>
        <w:rPr>
          <w:rFonts w:hint="eastAsia" w:ascii="宋体" w:hAnsi="宋体" w:cs="宋体"/>
          <w:b/>
          <w:spacing w:val="-6"/>
          <w:sz w:val="22"/>
          <w:szCs w:val="22"/>
          <w:highlight w:val="none"/>
        </w:rPr>
      </w:pPr>
      <w:r>
        <w:rPr>
          <w:rFonts w:hint="eastAsia" w:ascii="宋体" w:hAnsi="宋体" w:cs="宋体"/>
          <w:b/>
          <w:bCs/>
          <w:kern w:val="0"/>
          <w:sz w:val="22"/>
          <w:szCs w:val="22"/>
          <w:highlight w:val="none"/>
        </w:rPr>
        <w:t>二、</w:t>
      </w:r>
      <w:r>
        <w:rPr>
          <w:rFonts w:hint="eastAsia" w:ascii="宋体" w:hAnsi="宋体" w:cs="宋体"/>
          <w:b/>
          <w:spacing w:val="-6"/>
          <w:sz w:val="22"/>
          <w:szCs w:val="22"/>
          <w:highlight w:val="none"/>
        </w:rPr>
        <w:t>商务要求（技术要求里另有注明的以技术要求为准）</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sz w:val="22"/>
                <w:szCs w:val="22"/>
                <w:highlight w:val="none"/>
              </w:rPr>
            </w:pPr>
            <w:r>
              <w:rPr>
                <w:rFonts w:hint="eastAsia" w:ascii="宋体" w:hAnsi="宋体" w:cs="宋体"/>
                <w:kern w:val="0"/>
                <w:sz w:val="22"/>
                <w:szCs w:val="22"/>
                <w:highlight w:val="none"/>
                <w:u w:val="single"/>
              </w:rPr>
              <w:t>▲</w:t>
            </w:r>
            <w:r>
              <w:rPr>
                <w:rFonts w:hint="eastAsia" w:ascii="宋体" w:hAnsi="宋体" w:cs="宋体"/>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sz w:val="22"/>
                <w:szCs w:val="22"/>
                <w:highlight w:val="none"/>
              </w:rPr>
            </w:pPr>
            <w:r>
              <w:rPr>
                <w:rFonts w:hint="eastAsia" w:ascii="宋体" w:hAnsi="宋体" w:cs="宋体"/>
                <w:sz w:val="22"/>
                <w:szCs w:val="22"/>
                <w:highlight w:val="none"/>
                <w:u w:val="single"/>
              </w:rPr>
              <w:t>本合同签订后卖方向买方支付合同价款的5%作为履约保证金；卖方完成全部供货及安装、调试、培训并通过买方验收，买方入库报销后15个工作日内，买方向卖方支付100%合同价款（卖方必须先开具合同金额100%的正式增值税专用发票）；履约保证金自验收合格之日，一年后无质量问题，资产管理处收到使用部门填写的验收单后7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sz w:val="22"/>
                <w:szCs w:val="22"/>
                <w:highlight w:val="none"/>
              </w:rPr>
            </w:pPr>
            <w:r>
              <w:rPr>
                <w:rFonts w:hint="eastAsia" w:ascii="宋体" w:hAnsi="宋体" w:cs="宋体"/>
                <w:sz w:val="22"/>
                <w:szCs w:val="22"/>
                <w:highlight w:val="none"/>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sz w:val="22"/>
                <w:szCs w:val="22"/>
                <w:highlight w:val="none"/>
              </w:rPr>
            </w:pPr>
            <w:r>
              <w:rPr>
                <w:rFonts w:hint="eastAsia" w:ascii="宋体" w:hAnsi="宋体" w:cs="宋体"/>
                <w:sz w:val="22"/>
                <w:szCs w:val="22"/>
                <w:highlight w:val="none"/>
              </w:rPr>
              <w:t>5年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sz w:val="22"/>
                <w:szCs w:val="22"/>
                <w:highlight w:val="none"/>
              </w:rPr>
            </w:pPr>
            <w:r>
              <w:rPr>
                <w:rFonts w:hint="eastAsia" w:ascii="宋体" w:hAnsi="宋体" w:cs="宋体"/>
                <w:sz w:val="22"/>
                <w:szCs w:val="22"/>
                <w:highlight w:val="none"/>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kern w:val="0"/>
                <w:sz w:val="22"/>
                <w:highlight w:val="none"/>
              </w:rPr>
            </w:pPr>
            <w:r>
              <w:rPr>
                <w:rFonts w:hint="eastAsia" w:ascii="宋体" w:hAnsi="宋体" w:cs="宋体"/>
                <w:bCs/>
                <w:kern w:val="0"/>
                <w:sz w:val="22"/>
                <w:highlight w:val="none"/>
              </w:rPr>
              <w:t>成交通知发出后</w:t>
            </w:r>
            <w:r>
              <w:rPr>
                <w:rFonts w:hint="eastAsia" w:ascii="宋体" w:hAnsi="宋体" w:cs="宋体"/>
                <w:bCs/>
                <w:color w:val="0000FF"/>
                <w:kern w:val="0"/>
                <w:sz w:val="22"/>
                <w:highlight w:val="none"/>
                <w:lang w:val="en-US" w:eastAsia="zh-CN"/>
              </w:rPr>
              <w:t>15</w:t>
            </w:r>
            <w:r>
              <w:rPr>
                <w:rFonts w:hint="eastAsia" w:ascii="宋体" w:hAnsi="宋体" w:cs="宋体"/>
                <w:bCs/>
                <w:kern w:val="0"/>
                <w:sz w:val="22"/>
                <w:highlight w:val="none"/>
              </w:rPr>
              <w:t>个工作日内送至指定地点。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sz w:val="22"/>
                <w:szCs w:val="22"/>
                <w:highlight w:val="none"/>
              </w:rPr>
            </w:pPr>
            <w:r>
              <w:rPr>
                <w:rFonts w:hint="eastAsia" w:ascii="宋体" w:hAnsi="宋体" w:cs="宋体"/>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kern w:val="0"/>
                <w:sz w:val="22"/>
                <w:highlight w:val="none"/>
              </w:rPr>
            </w:pPr>
            <w:r>
              <w:rPr>
                <w:rFonts w:hint="eastAsia" w:ascii="宋体" w:hAnsi="宋体" w:cs="宋体"/>
                <w:sz w:val="22"/>
                <w:szCs w:val="22"/>
                <w:highlight w:val="none"/>
              </w:rPr>
              <w:t>温州职业技术学院指定地点。</w:t>
            </w:r>
          </w:p>
        </w:tc>
      </w:tr>
    </w:tbl>
    <w:p>
      <w:pPr>
        <w:numPr>
          <w:ilvl w:val="0"/>
          <w:numId w:val="1"/>
        </w:num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技术要求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054"/>
        <w:gridCol w:w="570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eastAsia" w:ascii="宋体" w:hAnsi="宋体" w:cs="宋体"/>
                <w:b/>
                <w:sz w:val="22"/>
                <w:szCs w:val="22"/>
                <w:highlight w:val="none"/>
              </w:rPr>
            </w:pPr>
            <w:r>
              <w:rPr>
                <w:rFonts w:hint="eastAsia" w:ascii="宋体" w:hAnsi="宋体" w:cs="宋体"/>
                <w:b/>
                <w:sz w:val="22"/>
                <w:szCs w:val="22"/>
                <w:highlight w:val="none"/>
              </w:rPr>
              <w:t>序号</w:t>
            </w:r>
          </w:p>
        </w:tc>
        <w:tc>
          <w:tcPr>
            <w:tcW w:w="1164" w:type="dxa"/>
            <w:noWrap w:val="0"/>
            <w:vAlign w:val="top"/>
          </w:tcPr>
          <w:p>
            <w:pPr>
              <w:jc w:val="left"/>
              <w:rPr>
                <w:rFonts w:hint="eastAsia" w:ascii="宋体" w:hAnsi="宋体" w:cs="宋体"/>
                <w:b/>
                <w:sz w:val="22"/>
                <w:szCs w:val="22"/>
                <w:highlight w:val="none"/>
              </w:rPr>
            </w:pPr>
            <w:r>
              <w:rPr>
                <w:rFonts w:hint="eastAsia" w:ascii="宋体" w:hAnsi="宋体" w:cs="宋体"/>
                <w:b/>
                <w:sz w:val="22"/>
                <w:szCs w:val="22"/>
                <w:highlight w:val="none"/>
              </w:rPr>
              <w:t>名称</w:t>
            </w:r>
          </w:p>
        </w:tc>
        <w:tc>
          <w:tcPr>
            <w:tcW w:w="6503" w:type="dxa"/>
            <w:noWrap w:val="0"/>
            <w:vAlign w:val="top"/>
          </w:tcPr>
          <w:p>
            <w:pPr>
              <w:jc w:val="left"/>
              <w:rPr>
                <w:rFonts w:hint="eastAsia" w:ascii="宋体" w:hAnsi="宋体" w:cs="宋体"/>
                <w:b/>
                <w:sz w:val="22"/>
                <w:szCs w:val="22"/>
                <w:highlight w:val="none"/>
              </w:rPr>
            </w:pPr>
            <w:r>
              <w:rPr>
                <w:rFonts w:hint="eastAsia" w:ascii="宋体" w:hAnsi="宋体" w:cs="宋体"/>
                <w:b/>
                <w:sz w:val="22"/>
                <w:szCs w:val="22"/>
                <w:highlight w:val="none"/>
              </w:rPr>
              <w:t>参数</w:t>
            </w:r>
          </w:p>
        </w:tc>
        <w:tc>
          <w:tcPr>
            <w:tcW w:w="1072" w:type="dxa"/>
            <w:noWrap w:val="0"/>
            <w:vAlign w:val="top"/>
          </w:tcPr>
          <w:p>
            <w:pPr>
              <w:jc w:val="left"/>
              <w:rPr>
                <w:rFonts w:hint="eastAsia" w:ascii="宋体" w:hAnsi="宋体" w:cs="宋体"/>
                <w:b/>
                <w:sz w:val="22"/>
                <w:szCs w:val="22"/>
                <w:highlight w:val="none"/>
              </w:rPr>
            </w:pPr>
            <w:r>
              <w:rPr>
                <w:rFonts w:hint="eastAsia" w:ascii="宋体" w:hAnsi="宋体" w:cs="宋体"/>
                <w:b/>
                <w:sz w:val="22"/>
                <w:szCs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833" w:type="dxa"/>
            <w:noWrap w:val="0"/>
            <w:vAlign w:val="top"/>
          </w:tcPr>
          <w:p>
            <w:pPr>
              <w:jc w:val="left"/>
              <w:rPr>
                <w:rFonts w:hint="eastAsia" w:ascii="宋体" w:hAnsi="宋体" w:cs="宋体"/>
                <w:sz w:val="22"/>
                <w:szCs w:val="22"/>
                <w:highlight w:val="none"/>
              </w:rPr>
            </w:pPr>
            <w:r>
              <w:rPr>
                <w:rFonts w:hint="eastAsia" w:ascii="宋体" w:hAnsi="宋体" w:cs="宋体"/>
                <w:sz w:val="22"/>
                <w:szCs w:val="22"/>
                <w:highlight w:val="none"/>
              </w:rPr>
              <w:t>1</w:t>
            </w:r>
          </w:p>
        </w:tc>
        <w:tc>
          <w:tcPr>
            <w:tcW w:w="1164" w:type="dxa"/>
            <w:noWrap w:val="0"/>
            <w:vAlign w:val="top"/>
          </w:tcPr>
          <w:p>
            <w:pPr>
              <w:jc w:val="left"/>
              <w:rPr>
                <w:rFonts w:hint="eastAsia" w:ascii="宋体" w:hAnsi="宋体" w:cs="宋体"/>
                <w:sz w:val="22"/>
                <w:szCs w:val="22"/>
                <w:highlight w:val="none"/>
              </w:rPr>
            </w:pPr>
            <w:r>
              <w:rPr>
                <w:rFonts w:hint="eastAsia" w:ascii="宋体" w:hAnsi="宋体" w:cs="宋体"/>
                <w:sz w:val="22"/>
                <w:szCs w:val="22"/>
                <w:highlight w:val="none"/>
              </w:rPr>
              <w:t>固态硬盘</w:t>
            </w:r>
          </w:p>
        </w:tc>
        <w:tc>
          <w:tcPr>
            <w:tcW w:w="6503" w:type="dxa"/>
            <w:noWrap w:val="0"/>
            <w:vAlign w:val="top"/>
          </w:tcPr>
          <w:p>
            <w:pPr>
              <w:jc w:val="left"/>
              <w:rPr>
                <w:rFonts w:hint="eastAsia" w:ascii="宋体" w:hAnsi="宋体" w:cs="宋体"/>
                <w:sz w:val="22"/>
                <w:szCs w:val="22"/>
                <w:highlight w:val="none"/>
              </w:rPr>
            </w:pPr>
            <w:r>
              <w:rPr>
                <w:rFonts w:hint="eastAsia" w:ascii="宋体" w:hAnsi="宋体" w:cs="宋体"/>
                <w:sz w:val="22"/>
                <w:szCs w:val="22"/>
                <w:highlight w:val="none"/>
              </w:rPr>
              <w:t>1、2.5英寸、安装支架</w:t>
            </w:r>
          </w:p>
          <w:p>
            <w:pPr>
              <w:numPr>
                <w:ilvl w:val="0"/>
                <w:numId w:val="2"/>
              </w:numPr>
              <w:jc w:val="left"/>
              <w:rPr>
                <w:rFonts w:hint="eastAsia" w:ascii="宋体" w:hAnsi="宋体" w:cs="宋体"/>
                <w:sz w:val="22"/>
                <w:szCs w:val="22"/>
                <w:highlight w:val="none"/>
                <w:u w:val="single"/>
              </w:rPr>
            </w:pPr>
            <w:r>
              <w:rPr>
                <w:rFonts w:hint="eastAsia" w:ascii="宋体" w:hAnsi="宋体" w:cs="宋体"/>
                <w:sz w:val="22"/>
                <w:szCs w:val="22"/>
                <w:highlight w:val="none"/>
                <w:u w:val="single"/>
              </w:rPr>
              <w:t>▲连续读≥550MB/S、连续写≥520MB/S，缓存≥1GB</w:t>
            </w:r>
          </w:p>
          <w:p>
            <w:pPr>
              <w:jc w:val="left"/>
              <w:rPr>
                <w:rFonts w:hint="eastAsia" w:ascii="宋体" w:hAnsi="宋体" w:cs="宋体"/>
                <w:sz w:val="22"/>
                <w:szCs w:val="22"/>
                <w:highlight w:val="none"/>
              </w:rPr>
            </w:pPr>
            <w:r>
              <w:rPr>
                <w:rFonts w:hint="eastAsia" w:ascii="宋体" w:hAnsi="宋体" w:cs="宋体"/>
                <w:bCs/>
                <w:color w:val="000000"/>
                <w:sz w:val="22"/>
                <w:szCs w:val="22"/>
                <w:highlight w:val="none"/>
                <w:u w:val="none"/>
              </w:rPr>
              <w:t>3、</w:t>
            </w:r>
            <w:r>
              <w:rPr>
                <w:rFonts w:hint="eastAsia" w:ascii="宋体" w:hAnsi="宋体" w:cs="宋体"/>
                <w:sz w:val="22"/>
                <w:szCs w:val="22"/>
                <w:highlight w:val="none"/>
                <w:u w:val="single"/>
              </w:rPr>
              <w:t>▲闪存类型非QLC，最低写入量不得低于600TBW</w:t>
            </w:r>
          </w:p>
        </w:tc>
        <w:tc>
          <w:tcPr>
            <w:tcW w:w="1072" w:type="dxa"/>
            <w:noWrap w:val="0"/>
            <w:vAlign w:val="top"/>
          </w:tcPr>
          <w:p>
            <w:pPr>
              <w:jc w:val="left"/>
              <w:rPr>
                <w:rFonts w:hint="eastAsia" w:ascii="宋体" w:hAnsi="宋体" w:cs="宋体"/>
                <w:sz w:val="22"/>
                <w:szCs w:val="22"/>
                <w:highlight w:val="none"/>
              </w:rPr>
            </w:pPr>
            <w:r>
              <w:rPr>
                <w:rFonts w:hint="eastAsia" w:ascii="宋体" w:hAnsi="宋体" w:cs="宋体"/>
                <w:sz w:val="22"/>
                <w:szCs w:val="22"/>
                <w:highlight w:val="none"/>
              </w:rPr>
              <w:t>201个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33" w:type="dxa"/>
            <w:noWrap w:val="0"/>
            <w:vAlign w:val="top"/>
          </w:tcPr>
          <w:p>
            <w:pPr>
              <w:jc w:val="left"/>
              <w:rPr>
                <w:rFonts w:hint="eastAsia" w:ascii="宋体" w:hAnsi="宋体" w:cs="宋体"/>
                <w:sz w:val="22"/>
                <w:szCs w:val="22"/>
                <w:highlight w:val="none"/>
              </w:rPr>
            </w:pPr>
            <w:r>
              <w:rPr>
                <w:rFonts w:hint="eastAsia" w:ascii="宋体" w:hAnsi="宋体" w:cs="宋体"/>
                <w:sz w:val="22"/>
                <w:szCs w:val="22"/>
                <w:highlight w:val="none"/>
              </w:rPr>
              <w:t>2</w:t>
            </w:r>
          </w:p>
        </w:tc>
        <w:tc>
          <w:tcPr>
            <w:tcW w:w="1164" w:type="dxa"/>
            <w:noWrap w:val="0"/>
            <w:vAlign w:val="top"/>
          </w:tcPr>
          <w:p>
            <w:pPr>
              <w:jc w:val="left"/>
              <w:rPr>
                <w:rFonts w:hint="eastAsia" w:ascii="宋体" w:hAnsi="宋体" w:cs="宋体"/>
                <w:sz w:val="22"/>
                <w:szCs w:val="22"/>
                <w:highlight w:val="none"/>
              </w:rPr>
            </w:pPr>
            <w:r>
              <w:rPr>
                <w:rFonts w:hint="eastAsia" w:ascii="宋体" w:hAnsi="宋体" w:cs="宋体"/>
                <w:sz w:val="22"/>
                <w:szCs w:val="22"/>
                <w:highlight w:val="none"/>
              </w:rPr>
              <w:t>还原卡</w:t>
            </w:r>
          </w:p>
        </w:tc>
        <w:tc>
          <w:tcPr>
            <w:tcW w:w="6503" w:type="dxa"/>
            <w:noWrap w:val="0"/>
            <w:vAlign w:val="top"/>
          </w:tcPr>
          <w:p>
            <w:pPr>
              <w:rPr>
                <w:rFonts w:hint="eastAsia" w:ascii="宋体" w:hAnsi="宋体" w:cs="宋体"/>
                <w:bCs/>
                <w:color w:val="000000"/>
                <w:sz w:val="22"/>
                <w:szCs w:val="22"/>
                <w:highlight w:val="none"/>
                <w:u w:val="single"/>
              </w:rPr>
            </w:pPr>
            <w:r>
              <w:rPr>
                <w:rFonts w:hint="eastAsia" w:ascii="宋体" w:hAnsi="宋体" w:cs="宋体"/>
                <w:bCs/>
                <w:color w:val="000000"/>
                <w:sz w:val="22"/>
                <w:szCs w:val="22"/>
                <w:highlight w:val="none"/>
              </w:rPr>
              <w:t>1、</w:t>
            </w:r>
            <w:r>
              <w:rPr>
                <w:rFonts w:hint="eastAsia" w:ascii="宋体" w:hAnsi="宋体" w:cs="宋体"/>
                <w:sz w:val="22"/>
                <w:szCs w:val="22"/>
                <w:highlight w:val="none"/>
                <w:u w:val="single"/>
              </w:rPr>
              <w:t>▲</w:t>
            </w:r>
            <w:r>
              <w:rPr>
                <w:rFonts w:hint="eastAsia" w:ascii="宋体" w:hAnsi="宋体" w:cs="宋体"/>
                <w:bCs/>
                <w:color w:val="000000"/>
                <w:sz w:val="22"/>
                <w:szCs w:val="22"/>
                <w:highlight w:val="none"/>
                <w:u w:val="single"/>
              </w:rPr>
              <w:t>独立的硬件卡，采用PCI-E接口，速度最快为600MB/S。</w:t>
            </w:r>
          </w:p>
          <w:p>
            <w:pPr>
              <w:rPr>
                <w:rFonts w:hint="eastAsia" w:ascii="宋体" w:hAnsi="宋体" w:cs="宋体"/>
                <w:bCs/>
                <w:color w:val="000000"/>
                <w:sz w:val="22"/>
                <w:szCs w:val="22"/>
                <w:highlight w:val="none"/>
                <w:u w:val="single"/>
              </w:rPr>
            </w:pPr>
            <w:r>
              <w:rPr>
                <w:rFonts w:hint="eastAsia" w:ascii="宋体" w:hAnsi="宋体" w:cs="宋体"/>
                <w:bCs/>
                <w:color w:val="000000"/>
                <w:sz w:val="22"/>
                <w:szCs w:val="22"/>
                <w:highlight w:val="none"/>
                <w:u w:val="none"/>
              </w:rPr>
              <w:t>2、</w:t>
            </w:r>
            <w:r>
              <w:rPr>
                <w:rFonts w:hint="eastAsia" w:ascii="宋体" w:hAnsi="宋体" w:cs="宋体"/>
                <w:sz w:val="22"/>
                <w:szCs w:val="22"/>
                <w:highlight w:val="none"/>
                <w:u w:val="single"/>
              </w:rPr>
              <w:t>▲</w:t>
            </w:r>
            <w:r>
              <w:rPr>
                <w:rFonts w:hint="eastAsia" w:ascii="宋体" w:hAnsi="宋体" w:cs="宋体"/>
                <w:bCs/>
                <w:color w:val="000000"/>
                <w:sz w:val="22"/>
                <w:szCs w:val="22"/>
                <w:highlight w:val="none"/>
                <w:u w:val="single"/>
              </w:rPr>
              <w:t>硬卡带两个硬盘接口（一个M.2,一个SATA口），硬盘数据线与硬件卡直接相连，控制了硬盘读写，可以做到彻底保护硬盘数据，彻底防止病毒破坏。</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3、同时支持保护两块硬盘，并支持两块硬盘数据传输</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4、卡集成底层硬件驱动，无需安装底层驱动。</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5、网络拷贝速度快，千兆环境速度达每分钟6-7GB，百兆也能突破1GB，业界领先。</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6、支持多节点，多进度保护和传输</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7、支持跨网段的服务器系统下载和参数同步</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8、支持在同一硬盘上分区之间的拷贝，这样在同一个硬盘上安装多个同样操作系统的时候，只需要安装一个。</w:t>
            </w:r>
          </w:p>
          <w:p>
            <w:pPr>
              <w:jc w:val="left"/>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9、底层控制U盘和光盘的使用，防止病毒的带入</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10、支持大于2TB的硬盘</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11、单个操作系统可以设置操作密码。</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12、支自持动和手动修改IP地址，支持IPV6，满足网络升级的需要，针对不同的系统可以自动设置不同的IP地址，</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13、支持公用资料立即还原</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14、支持注册软件分发（针对需要单机注册的软件，只需在样机上注册后，网络拷贝过去不需逐台注册，立即可以使用）</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15、支持自动修改登录用户名</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16、支持软件背景图片的自定义设置</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17、支持中文开机选单设置</w:t>
            </w:r>
          </w:p>
          <w:p>
            <w:pPr>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18、开机选单支持系统软件名称的备注。</w:t>
            </w:r>
          </w:p>
          <w:p>
            <w:pPr>
              <w:rPr>
                <w:rFonts w:hint="eastAsia" w:ascii="宋体" w:hAnsi="宋体" w:cs="宋体"/>
                <w:sz w:val="22"/>
                <w:szCs w:val="22"/>
                <w:highlight w:val="none"/>
              </w:rPr>
            </w:pPr>
            <w:r>
              <w:rPr>
                <w:rFonts w:hint="eastAsia" w:ascii="宋体" w:hAnsi="宋体" w:cs="宋体"/>
                <w:bCs/>
                <w:color w:val="000000"/>
                <w:sz w:val="22"/>
                <w:szCs w:val="22"/>
                <w:highlight w:val="none"/>
              </w:rPr>
              <w:t>19、支持常用设置跨网段离线同步</w:t>
            </w:r>
          </w:p>
        </w:tc>
        <w:tc>
          <w:tcPr>
            <w:tcW w:w="1072" w:type="dxa"/>
            <w:noWrap w:val="0"/>
            <w:vAlign w:val="top"/>
          </w:tcPr>
          <w:p>
            <w:pPr>
              <w:jc w:val="left"/>
              <w:rPr>
                <w:rFonts w:hint="eastAsia" w:ascii="宋体" w:hAnsi="宋体" w:cs="宋体"/>
                <w:sz w:val="22"/>
                <w:szCs w:val="22"/>
                <w:highlight w:val="none"/>
              </w:rPr>
            </w:pPr>
            <w:r>
              <w:rPr>
                <w:rFonts w:hint="eastAsia" w:ascii="宋体" w:hAnsi="宋体" w:cs="宋体"/>
                <w:sz w:val="22"/>
                <w:szCs w:val="22"/>
                <w:highlight w:val="none"/>
              </w:rPr>
              <w:t>201</w:t>
            </w:r>
            <w:r>
              <w:rPr>
                <w:rFonts w:hint="eastAsia"/>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33" w:type="dxa"/>
            <w:noWrap w:val="0"/>
            <w:vAlign w:val="top"/>
          </w:tcPr>
          <w:p>
            <w:pPr>
              <w:jc w:val="left"/>
              <w:rPr>
                <w:rFonts w:hint="eastAsia" w:ascii="宋体" w:hAnsi="宋体" w:cs="宋体"/>
                <w:sz w:val="22"/>
                <w:szCs w:val="22"/>
                <w:highlight w:val="none"/>
              </w:rPr>
            </w:pPr>
            <w:r>
              <w:rPr>
                <w:rFonts w:hint="eastAsia" w:ascii="宋体" w:hAnsi="宋体" w:cs="宋体"/>
                <w:sz w:val="22"/>
                <w:szCs w:val="22"/>
                <w:highlight w:val="none"/>
              </w:rPr>
              <w:t>3</w:t>
            </w:r>
          </w:p>
        </w:tc>
        <w:tc>
          <w:tcPr>
            <w:tcW w:w="1164" w:type="dxa"/>
            <w:noWrap w:val="0"/>
            <w:vAlign w:val="top"/>
          </w:tcPr>
          <w:p>
            <w:pPr>
              <w:jc w:val="left"/>
              <w:rPr>
                <w:rFonts w:hint="eastAsia" w:ascii="宋体" w:hAnsi="宋体" w:cs="宋体"/>
                <w:sz w:val="22"/>
                <w:szCs w:val="22"/>
                <w:highlight w:val="none"/>
              </w:rPr>
            </w:pPr>
            <w:r>
              <w:rPr>
                <w:rFonts w:hint="eastAsia" w:ascii="宋体" w:hAnsi="宋体" w:cs="宋体"/>
                <w:sz w:val="22"/>
                <w:szCs w:val="22"/>
                <w:highlight w:val="none"/>
              </w:rPr>
              <w:t>服务器硬盘</w:t>
            </w:r>
          </w:p>
        </w:tc>
        <w:tc>
          <w:tcPr>
            <w:tcW w:w="6503" w:type="dxa"/>
            <w:noWrap w:val="0"/>
            <w:vAlign w:val="top"/>
          </w:tcPr>
          <w:p>
            <w:pPr>
              <w:jc w:val="left"/>
              <w:rPr>
                <w:rFonts w:hint="eastAsia" w:ascii="宋体" w:hAnsi="宋体" w:cs="宋体"/>
                <w:sz w:val="22"/>
                <w:szCs w:val="22"/>
                <w:highlight w:val="none"/>
              </w:rPr>
            </w:pPr>
            <w:r>
              <w:rPr>
                <w:rFonts w:hint="eastAsia" w:ascii="宋体" w:hAnsi="宋体" w:cs="宋体"/>
                <w:sz w:val="22"/>
                <w:szCs w:val="22"/>
                <w:highlight w:val="none"/>
              </w:rPr>
              <w:t>企业级8T SATA 7200转及以上</w:t>
            </w:r>
          </w:p>
        </w:tc>
        <w:tc>
          <w:tcPr>
            <w:tcW w:w="1072" w:type="dxa"/>
            <w:noWrap w:val="0"/>
            <w:vAlign w:val="top"/>
          </w:tcPr>
          <w:p>
            <w:pPr>
              <w:jc w:val="left"/>
              <w:rPr>
                <w:rFonts w:hint="eastAsia" w:ascii="宋体" w:hAnsi="宋体" w:eastAsia="宋体" w:cs="宋体"/>
                <w:sz w:val="22"/>
                <w:szCs w:val="22"/>
                <w:highlight w:val="none"/>
                <w:lang w:eastAsia="zh-CN"/>
              </w:rPr>
            </w:pPr>
            <w:r>
              <w:rPr>
                <w:rFonts w:hint="eastAsia" w:ascii="宋体" w:hAnsi="宋体" w:cs="宋体"/>
                <w:sz w:val="22"/>
                <w:szCs w:val="22"/>
                <w:highlight w:val="none"/>
              </w:rPr>
              <w:t>4</w:t>
            </w:r>
            <w:r>
              <w:rPr>
                <w:rFonts w:hint="eastAsia" w:ascii="宋体" w:hAnsi="宋体" w:cs="宋体"/>
                <w:sz w:val="22"/>
                <w:szCs w:val="22"/>
                <w:highlight w:val="none"/>
                <w:lang w:eastAsia="zh-CN"/>
              </w:rPr>
              <w:t>个</w:t>
            </w:r>
          </w:p>
        </w:tc>
      </w:tr>
    </w:tbl>
    <w:p>
      <w:pPr>
        <w:pStyle w:val="2"/>
        <w:ind w:left="0" w:leftChars="0" w:firstLine="0" w:firstLineChars="0"/>
        <w:rPr>
          <w:rFonts w:hint="eastAsia" w:ascii="宋体" w:hAnsi="宋体" w:cs="宋体"/>
          <w:b/>
          <w:bCs/>
          <w:spacing w:val="-6"/>
          <w:sz w:val="22"/>
          <w:szCs w:val="22"/>
          <w:highlight w:val="none"/>
        </w:rPr>
      </w:pPr>
    </w:p>
    <w:p>
      <w:pPr>
        <w:spacing w:line="360" w:lineRule="exact"/>
        <w:rPr>
          <w:rFonts w:hint="eastAsia" w:ascii="宋体" w:hAnsi="宋体" w:cs="宋体"/>
          <w:b/>
          <w:bCs/>
          <w:sz w:val="22"/>
          <w:szCs w:val="22"/>
          <w:highlight w:val="none"/>
        </w:rPr>
      </w:pPr>
      <w:r>
        <w:rPr>
          <w:rFonts w:hint="eastAsia" w:ascii="宋体" w:hAnsi="宋体" w:cs="宋体"/>
          <w:b/>
          <w:spacing w:val="-6"/>
          <w:sz w:val="22"/>
          <w:szCs w:val="22"/>
          <w:highlight w:val="none"/>
        </w:rPr>
        <w:t>四、其他</w:t>
      </w:r>
    </w:p>
    <w:p>
      <w:pPr>
        <w:spacing w:line="360" w:lineRule="exact"/>
        <w:ind w:firstLine="418" w:firstLineChars="200"/>
        <w:rPr>
          <w:rFonts w:hint="eastAsia" w:ascii="宋体" w:hAnsi="宋体" w:cs="宋体"/>
          <w:b/>
          <w:spacing w:val="-6"/>
          <w:sz w:val="22"/>
          <w:szCs w:val="22"/>
          <w:highlight w:val="none"/>
        </w:rPr>
      </w:pPr>
      <w:r>
        <w:rPr>
          <w:rFonts w:hint="eastAsia" w:ascii="宋体" w:hAnsi="宋体" w:cs="宋体"/>
          <w:b/>
          <w:spacing w:val="-6"/>
          <w:sz w:val="22"/>
          <w:szCs w:val="22"/>
          <w:highlight w:val="none"/>
        </w:rPr>
        <w:t>标“▲且加下划线”的有关技术和商务要求为实质性条款，响应方必须做出实质性响应</w:t>
      </w:r>
      <w:r>
        <w:rPr>
          <w:rFonts w:hint="eastAsia" w:ascii="宋体" w:hAnsi="宋体" w:cs="宋体"/>
          <w:b/>
          <w:bCs/>
          <w:spacing w:val="-6"/>
          <w:sz w:val="22"/>
          <w:szCs w:val="22"/>
          <w:highlight w:val="none"/>
        </w:rPr>
        <w:t>，否则视为无效响应文件。</w:t>
      </w:r>
      <w:r>
        <w:rPr>
          <w:rFonts w:hint="eastAsia" w:ascii="宋体" w:hAnsi="宋体" w:cs="宋体"/>
          <w:b/>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spacing w:val="-6"/>
          <w:sz w:val="22"/>
          <w:szCs w:val="22"/>
          <w:highlight w:val="none"/>
        </w:rPr>
      </w:pPr>
      <w:r>
        <w:rPr>
          <w:rFonts w:hint="eastAsia" w:ascii="宋体" w:hAnsi="宋体" w:cs="宋体"/>
          <w:b/>
          <w:spacing w:val="-6"/>
          <w:sz w:val="22"/>
          <w:szCs w:val="22"/>
          <w:highlight w:val="none"/>
        </w:rPr>
        <w:t>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highlight w:val="none"/>
        </w:rPr>
        <w:t>。</w:t>
      </w:r>
    </w:p>
    <w:p>
      <w:pPr>
        <w:adjustRightInd w:val="0"/>
        <w:snapToGrid w:val="0"/>
        <w:spacing w:before="120" w:beforeLines="50" w:after="120" w:afterLines="50" w:line="360" w:lineRule="auto"/>
        <w:jc w:val="center"/>
        <w:outlineLvl w:val="0"/>
        <w:rPr>
          <w:rFonts w:hint="eastAsia" w:ascii="宋体" w:hAnsi="宋体" w:cs="宋体"/>
          <w:b/>
          <w:sz w:val="30"/>
          <w:szCs w:val="30"/>
          <w:highlight w:val="none"/>
        </w:rPr>
      </w:pPr>
    </w:p>
    <w:p>
      <w:pPr>
        <w:pStyle w:val="2"/>
        <w:ind w:firstLine="560"/>
        <w:rPr>
          <w:rFonts w:hint="eastAsia" w:ascii="宋体" w:hAnsi="宋体" w:cs="宋体"/>
          <w:highlight w:val="none"/>
        </w:rPr>
      </w:pPr>
    </w:p>
    <w:p>
      <w:pPr>
        <w:pStyle w:val="2"/>
        <w:ind w:firstLine="560"/>
        <w:rPr>
          <w:rFonts w:hint="eastAsia" w:ascii="宋体" w:hAnsi="宋体" w:cs="宋体"/>
          <w:highlight w:val="none"/>
        </w:rPr>
      </w:pPr>
    </w:p>
    <w:p>
      <w:pPr>
        <w:pStyle w:val="2"/>
        <w:ind w:firstLine="560"/>
        <w:rPr>
          <w:rFonts w:hint="eastAsia" w:ascii="宋体" w:hAnsi="宋体" w:cs="宋体"/>
          <w:highlight w:val="none"/>
        </w:rPr>
      </w:pPr>
    </w:p>
    <w:p>
      <w:pPr>
        <w:pStyle w:val="2"/>
        <w:ind w:left="0" w:leftChars="0" w:firstLine="0" w:firstLineChars="0"/>
        <w:rPr>
          <w:rFonts w:hint="eastAsia" w:ascii="宋体" w:hAnsi="宋体" w:cs="宋体"/>
          <w:highlight w:val="none"/>
        </w:rPr>
      </w:pPr>
    </w:p>
    <w:p>
      <w:pPr>
        <w:pStyle w:val="2"/>
        <w:ind w:left="0" w:leftChars="0" w:firstLine="0" w:firstLineChars="0"/>
        <w:rPr>
          <w:rFonts w:hint="eastAsia" w:ascii="宋体" w:hAnsi="宋体" w:cs="宋体"/>
          <w:highlight w:val="none"/>
        </w:rPr>
      </w:pPr>
    </w:p>
    <w:p>
      <w:pPr>
        <w:pStyle w:val="2"/>
        <w:ind w:left="0" w:leftChars="0" w:firstLine="0" w:firstLineChars="0"/>
        <w:rPr>
          <w:rFonts w:hint="eastAsia" w:ascii="宋体" w:hAnsi="宋体" w:cs="宋体"/>
          <w:highlight w:val="none"/>
        </w:rPr>
      </w:pPr>
    </w:p>
    <w:p>
      <w:pPr>
        <w:pStyle w:val="2"/>
        <w:ind w:left="0" w:leftChars="0" w:firstLine="0" w:firstLineChars="0"/>
        <w:rPr>
          <w:rFonts w:hint="eastAsia" w:ascii="宋体" w:hAnsi="宋体" w:cs="宋体"/>
          <w:highlight w:val="none"/>
        </w:rPr>
      </w:pPr>
    </w:p>
    <w:p>
      <w:pPr>
        <w:pStyle w:val="2"/>
        <w:ind w:left="0" w:leftChars="0" w:firstLine="0" w:firstLineChars="0"/>
        <w:rPr>
          <w:rFonts w:hint="eastAsia" w:ascii="宋体" w:hAnsi="宋体" w:cs="宋体"/>
          <w:highlight w:val="none"/>
        </w:rPr>
      </w:pPr>
    </w:p>
    <w:p>
      <w:pPr>
        <w:pStyle w:val="2"/>
        <w:ind w:left="0" w:leftChars="0" w:firstLine="0" w:firstLineChars="0"/>
        <w:rPr>
          <w:rFonts w:hint="eastAsia" w:ascii="宋体" w:hAnsi="宋体" w:cs="宋体"/>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CF541"/>
    <w:multiLevelType w:val="singleLevel"/>
    <w:tmpl w:val="936CF541"/>
    <w:lvl w:ilvl="0" w:tentative="0">
      <w:start w:val="2"/>
      <w:numFmt w:val="decimal"/>
      <w:suff w:val="nothing"/>
      <w:lvlText w:val="%1、"/>
      <w:lvlJc w:val="left"/>
    </w:lvl>
  </w:abstractNum>
  <w:abstractNum w:abstractNumId="1">
    <w:nsid w:val="EF82BFD4"/>
    <w:multiLevelType w:val="singleLevel"/>
    <w:tmpl w:val="EF82BFD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D5106"/>
    <w:rsid w:val="5A870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 w:type="paragraph" w:styleId="3">
    <w:name w:val="Body Text Indent"/>
    <w:basedOn w:val="1"/>
    <w:qFormat/>
    <w:uiPriority w:val="0"/>
    <w:pPr>
      <w:adjustRightInd w:val="0"/>
      <w:spacing w:line="360" w:lineRule="auto"/>
      <w:ind w:firstLine="490"/>
      <w:jc w:val="left"/>
    </w:pPr>
    <w:rPr>
      <w:rFonts w:ascii="宋体" w:hAnsi="宋体"/>
      <w:sz w:val="24"/>
    </w:rPr>
  </w:style>
  <w:style w:type="paragraph" w:styleId="4">
    <w:name w:val="Block Text"/>
    <w:basedOn w:val="1"/>
    <w:qFormat/>
    <w:uiPriority w:val="0"/>
    <w:pPr>
      <w:adjustRightInd w:val="0"/>
      <w:spacing w:line="300" w:lineRule="auto"/>
      <w:ind w:left="958" w:rightChars="-120"/>
      <w:jc w:val="left"/>
    </w:pPr>
    <w:rPr>
      <w:rFonts w:ascii="宋体" w:hAnsi="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博文</cp:lastModifiedBy>
  <dcterms:modified xsi:type="dcterms:W3CDTF">2021-01-15T07:47:34Z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